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47AA2" w14:textId="77777777" w:rsidR="00B20809" w:rsidRDefault="00B20809" w:rsidP="00C93DBC">
      <w:pPr>
        <w:snapToGrid w:val="0"/>
        <w:spacing w:after="0"/>
        <w:rPr>
          <w:rFonts w:cs="Arial"/>
          <w:b/>
          <w:sz w:val="28"/>
          <w:szCs w:val="28"/>
        </w:rPr>
      </w:pPr>
    </w:p>
    <w:p w14:paraId="0CC1794A" w14:textId="77777777"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t>
      </w:r>
      <w:r w:rsidR="00BF17C1">
        <w:rPr>
          <w:rFonts w:asciiTheme="minorHAnsi" w:eastAsia="SimSun" w:hAnsiTheme="minorHAnsi" w:cs="Arial"/>
          <w:b/>
          <w:sz w:val="24"/>
          <w:szCs w:val="24"/>
        </w:rPr>
        <w:t>Plenary</w:t>
      </w:r>
      <w:r w:rsidRPr="001A3E43">
        <w:rPr>
          <w:rFonts w:asciiTheme="minorHAnsi" w:eastAsia="SimSun" w:hAnsiTheme="minorHAnsi" w:cs="Arial"/>
          <w:b/>
          <w:sz w:val="24"/>
          <w:szCs w:val="24"/>
        </w:rPr>
        <w:t xml:space="preserve"> Meeting </w:t>
      </w:r>
      <w:r w:rsidR="00980DCF">
        <w:rPr>
          <w:rFonts w:asciiTheme="minorHAnsi" w:eastAsia="SimSun" w:hAnsiTheme="minorHAnsi" w:cs="Arial"/>
          <w:b/>
          <w:sz w:val="24"/>
          <w:szCs w:val="24"/>
        </w:rPr>
        <w:t>#</w:t>
      </w:r>
      <w:r w:rsidR="00BF17C1">
        <w:rPr>
          <w:rFonts w:asciiTheme="minorHAnsi" w:eastAsia="SimSun" w:hAnsiTheme="minorHAnsi" w:cs="Arial"/>
          <w:b/>
          <w:sz w:val="24"/>
          <w:szCs w:val="24"/>
        </w:rPr>
        <w:t>81</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00BF17C1">
        <w:rPr>
          <w:rFonts w:asciiTheme="minorHAnsi" w:eastAsia="SimSun" w:hAnsiTheme="minorHAnsi" w:cs="Arial"/>
          <w:b/>
          <w:sz w:val="24"/>
          <w:szCs w:val="24"/>
        </w:rPr>
        <w:t>RP</w:t>
      </w:r>
      <w:r w:rsidRPr="001A3E43">
        <w:rPr>
          <w:rFonts w:asciiTheme="minorHAnsi" w:eastAsia="SimSun" w:hAnsiTheme="minorHAnsi" w:cs="Arial"/>
          <w:b/>
          <w:sz w:val="24"/>
          <w:szCs w:val="24"/>
        </w:rPr>
        <w:t>-</w:t>
      </w:r>
      <w:r w:rsidR="009F3E78" w:rsidRPr="001A3E43">
        <w:rPr>
          <w:rFonts w:asciiTheme="minorHAnsi" w:eastAsia="SimSun" w:hAnsiTheme="minorHAnsi" w:cs="Arial"/>
          <w:b/>
          <w:sz w:val="24"/>
          <w:szCs w:val="24"/>
        </w:rPr>
        <w:t>1</w:t>
      </w:r>
      <w:r w:rsidR="00BF17C1">
        <w:rPr>
          <w:rFonts w:asciiTheme="minorHAnsi" w:eastAsia="SimSun" w:hAnsiTheme="minorHAnsi" w:cs="Arial"/>
          <w:b/>
          <w:sz w:val="24"/>
          <w:szCs w:val="24"/>
        </w:rPr>
        <w:t>81536</w:t>
      </w:r>
      <w:r w:rsidR="00FA060C">
        <w:rPr>
          <w:rFonts w:asciiTheme="minorHAnsi" w:eastAsia="SimSun" w:hAnsiTheme="minorHAnsi" w:cs="Arial"/>
          <w:b/>
          <w:sz w:val="24"/>
          <w:szCs w:val="24"/>
        </w:rPr>
        <w:t xml:space="preserve"> </w:t>
      </w:r>
      <w:r w:rsidR="00BF17C1">
        <w:rPr>
          <w:rFonts w:asciiTheme="minorHAnsi" w:eastAsia="SimSun" w:hAnsiTheme="minorHAnsi" w:cs="Arial"/>
          <w:b/>
          <w:bCs/>
          <w:sz w:val="24"/>
          <w:szCs w:val="24"/>
          <w:lang w:val="en-GB"/>
        </w:rPr>
        <w:t>Gold Coast, Australia</w:t>
      </w:r>
      <w:r w:rsidR="00A77555" w:rsidRPr="00A77555">
        <w:rPr>
          <w:rFonts w:asciiTheme="minorHAnsi" w:eastAsia="SimSun" w:hAnsiTheme="minorHAnsi" w:cs="Arial"/>
          <w:b/>
          <w:bCs/>
          <w:sz w:val="24"/>
          <w:szCs w:val="24"/>
          <w:lang w:val="en-GB"/>
        </w:rPr>
        <w:t xml:space="preserve">, </w:t>
      </w:r>
      <w:r w:rsidR="00BF17C1">
        <w:rPr>
          <w:rFonts w:asciiTheme="minorHAnsi" w:eastAsia="SimSun" w:hAnsiTheme="minorHAnsi" w:cs="Arial"/>
          <w:b/>
          <w:bCs/>
          <w:sz w:val="24"/>
          <w:szCs w:val="24"/>
          <w:lang w:val="en-GB"/>
        </w:rPr>
        <w:t>Sept 10 – 1</w:t>
      </w:r>
      <w:r w:rsidR="00943728">
        <w:rPr>
          <w:rFonts w:asciiTheme="minorHAnsi" w:eastAsia="SimSun" w:hAnsiTheme="minorHAnsi" w:cs="Arial"/>
          <w:b/>
          <w:bCs/>
          <w:sz w:val="24"/>
          <w:szCs w:val="24"/>
          <w:lang w:val="en-GB"/>
        </w:rPr>
        <w:t>4</w:t>
      </w:r>
      <w:r w:rsidR="00A77555" w:rsidRPr="00A77555">
        <w:rPr>
          <w:rFonts w:asciiTheme="minorHAnsi" w:eastAsia="SimSun" w:hAnsiTheme="minorHAnsi" w:cs="Arial"/>
          <w:b/>
          <w:bCs/>
          <w:sz w:val="24"/>
          <w:szCs w:val="24"/>
          <w:lang w:val="en-GB"/>
        </w:rPr>
        <w:t xml:space="preserve">, 2018 </w:t>
      </w:r>
    </w:p>
    <w:p w14:paraId="7556B69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1AA7AD3A"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DAD52FA"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BF17C1">
        <w:rPr>
          <w:rFonts w:asciiTheme="minorHAnsi" w:eastAsia="SimSun" w:hAnsiTheme="minorHAnsi"/>
          <w:b/>
          <w:sz w:val="24"/>
          <w:szCs w:val="24"/>
        </w:rPr>
        <w:t>9.3.10</w:t>
      </w:r>
    </w:p>
    <w:p w14:paraId="6D55108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73688886"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BF17C1">
        <w:rPr>
          <w:rFonts w:asciiTheme="minorHAnsi" w:eastAsia="SimSun" w:hAnsiTheme="minorHAnsi"/>
          <w:b/>
          <w:sz w:val="24"/>
          <w:szCs w:val="24"/>
        </w:rPr>
        <w:t>Architecture Considerations for IAB</w:t>
      </w:r>
    </w:p>
    <w:p w14:paraId="0C4A6967"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DBA5D7A" w14:textId="77777777" w:rsidR="00A64CF7" w:rsidRPr="00A11840" w:rsidRDefault="00A64CF7" w:rsidP="00424124">
      <w:pPr>
        <w:pStyle w:val="NoSpacing"/>
        <w:jc w:val="left"/>
        <w:rPr>
          <w:sz w:val="16"/>
          <w:szCs w:val="16"/>
        </w:rPr>
      </w:pPr>
    </w:p>
    <w:p w14:paraId="11A0C89F" w14:textId="77777777" w:rsidR="00707D20" w:rsidRDefault="00424124" w:rsidP="00326FF6">
      <w:pPr>
        <w:pStyle w:val="Heading1"/>
      </w:pPr>
      <w:r w:rsidRPr="00172743">
        <w:t>Introduction</w:t>
      </w:r>
    </w:p>
    <w:p w14:paraId="603D312F" w14:textId="215093A2" w:rsidR="00DB2E04" w:rsidRDefault="00B37536" w:rsidP="00C27DF3">
      <w:pPr>
        <w:rPr>
          <w:rFonts w:eastAsia="SimSun"/>
          <w:lang w:eastAsia="zh-CN"/>
        </w:rPr>
      </w:pPr>
      <w:r>
        <w:rPr>
          <w:rFonts w:eastAsia="SimSun"/>
          <w:lang w:eastAsia="zh-CN"/>
        </w:rPr>
        <w:t>A critical milestone for the IAB study item is the identification of the right architecture for IAB networks. Much like all architecture decision, it is extremely critical for the IAB study item to identify a small number of architecture options. Otherwise</w:t>
      </w:r>
      <w:r w:rsidR="00CF5207">
        <w:rPr>
          <w:rFonts w:eastAsia="SimSun"/>
          <w:lang w:eastAsia="zh-CN"/>
        </w:rPr>
        <w:t>,</w:t>
      </w:r>
      <w:r>
        <w:rPr>
          <w:rFonts w:eastAsia="SimSun"/>
          <w:lang w:eastAsia="zh-CN"/>
        </w:rPr>
        <w:t xml:space="preserve"> we run the risk of having the IAB solutions and HW platforms fragmented to support multiple architecture options, which will surely not allow for large</w:t>
      </w:r>
      <w:r w:rsidR="00CF5207">
        <w:rPr>
          <w:rFonts w:eastAsia="SimSun"/>
          <w:lang w:eastAsia="zh-CN"/>
        </w:rPr>
        <w:t>-</w:t>
      </w:r>
      <w:r>
        <w:rPr>
          <w:rFonts w:eastAsia="SimSun"/>
          <w:lang w:eastAsia="zh-CN"/>
        </w:rPr>
        <w:t xml:space="preserve">scale adoption of this feature. In this document we provide some proposals </w:t>
      </w:r>
      <w:r w:rsidR="00CF5207">
        <w:rPr>
          <w:rFonts w:eastAsia="SimSun"/>
          <w:lang w:eastAsia="zh-CN"/>
        </w:rPr>
        <w:t>to</w:t>
      </w:r>
      <w:r>
        <w:rPr>
          <w:rFonts w:eastAsia="SimSun"/>
          <w:lang w:eastAsia="zh-CN"/>
        </w:rPr>
        <w:t xml:space="preserve"> ensure that such fragmentation of the market with multiple architecture choices </w:t>
      </w:r>
      <w:r w:rsidR="00CF5207">
        <w:rPr>
          <w:rFonts w:eastAsia="SimSun"/>
          <w:lang w:eastAsia="zh-CN"/>
        </w:rPr>
        <w:t xml:space="preserve">does </w:t>
      </w:r>
      <w:r>
        <w:rPr>
          <w:rFonts w:eastAsia="SimSun"/>
          <w:lang w:eastAsia="zh-CN"/>
        </w:rPr>
        <w:t xml:space="preserve">not happen. </w:t>
      </w:r>
    </w:p>
    <w:p w14:paraId="2694C579" w14:textId="77777777" w:rsidR="00B37536" w:rsidRDefault="00B37536" w:rsidP="00B37536">
      <w:pPr>
        <w:pStyle w:val="Heading1"/>
        <w:rPr>
          <w:rFonts w:eastAsia="SimSun"/>
          <w:lang w:eastAsia="zh-CN"/>
        </w:rPr>
      </w:pPr>
      <w:r>
        <w:rPr>
          <w:rFonts w:eastAsia="SimSun"/>
          <w:lang w:eastAsia="zh-CN"/>
        </w:rPr>
        <w:t>Architecture Options for IAB</w:t>
      </w:r>
    </w:p>
    <w:p w14:paraId="34686DED" w14:textId="32D0ED21" w:rsidR="00CC3015" w:rsidRDefault="00C27DF3" w:rsidP="00C27DF3">
      <w:pPr>
        <w:rPr>
          <w:rFonts w:eastAsia="SimSun"/>
          <w:lang w:eastAsia="zh-CN"/>
        </w:rPr>
      </w:pPr>
      <w:r>
        <w:rPr>
          <w:rFonts w:eastAsia="SimSun"/>
          <w:lang w:eastAsia="zh-CN"/>
        </w:rPr>
        <w:t>The IAB SI item has identified two architecture groups a</w:t>
      </w:r>
      <w:r w:rsidR="00CC3015">
        <w:rPr>
          <w:rFonts w:eastAsia="SimSun"/>
          <w:lang w:eastAsia="zh-CN"/>
        </w:rPr>
        <w:t>s indicated in the SI TR [</w:t>
      </w:r>
      <w:r w:rsidR="008A01EE">
        <w:rPr>
          <w:rFonts w:eastAsia="SimSun"/>
          <w:lang w:eastAsia="zh-CN"/>
        </w:rPr>
        <w:t>1</w:t>
      </w:r>
      <w:r w:rsidR="00CC3015">
        <w:rPr>
          <w:rFonts w:eastAsia="SimSun"/>
          <w:lang w:eastAsia="zh-CN"/>
        </w:rPr>
        <w:t xml:space="preserve">] namely architecture group 1 and architecture group 2. The architecture group 1 is further divided into </w:t>
      </w:r>
      <w:r w:rsidR="005D5A60">
        <w:rPr>
          <w:rFonts w:eastAsia="SimSun"/>
          <w:lang w:eastAsia="zh-CN"/>
        </w:rPr>
        <w:t xml:space="preserve">two </w:t>
      </w:r>
      <w:r w:rsidR="00CC3015">
        <w:rPr>
          <w:rFonts w:eastAsia="SimSun"/>
          <w:lang w:eastAsia="zh-CN"/>
        </w:rPr>
        <w:t>architecture</w:t>
      </w:r>
      <w:r w:rsidR="005D5A60">
        <w:rPr>
          <w:rFonts w:eastAsia="SimSun"/>
          <w:lang w:eastAsia="zh-CN"/>
        </w:rPr>
        <w:t xml:space="preserve"> options</w:t>
      </w:r>
      <w:r w:rsidR="00CC3015">
        <w:rPr>
          <w:rFonts w:eastAsia="SimSun"/>
          <w:lang w:eastAsia="zh-CN"/>
        </w:rPr>
        <w:t>, name</w:t>
      </w:r>
      <w:r w:rsidR="005D5A60">
        <w:rPr>
          <w:rFonts w:eastAsia="SimSun"/>
          <w:lang w:eastAsia="zh-CN"/>
        </w:rPr>
        <w:t>ly,</w:t>
      </w:r>
      <w:r w:rsidR="00CC3015">
        <w:rPr>
          <w:rFonts w:eastAsia="SimSun"/>
          <w:lang w:eastAsia="zh-CN"/>
        </w:rPr>
        <w:t xml:space="preserve"> 1a and 1b. Albeit 1a and 1b are labeled are two different architecture</w:t>
      </w:r>
      <w:r w:rsidR="005D5A60">
        <w:rPr>
          <w:rFonts w:eastAsia="SimSun"/>
          <w:lang w:eastAsia="zh-CN"/>
        </w:rPr>
        <w:t>s,</w:t>
      </w:r>
      <w:r w:rsidR="00CC3015">
        <w:rPr>
          <w:rFonts w:eastAsia="SimSun"/>
          <w:lang w:eastAsia="zh-CN"/>
        </w:rPr>
        <w:t xml:space="preserve"> they are essentially variants of each other and fundamentally different from architecture group 2. </w:t>
      </w:r>
    </w:p>
    <w:p w14:paraId="254DF511" w14:textId="77777777" w:rsidR="00CC3015" w:rsidRDefault="00CC3015" w:rsidP="00C27DF3">
      <w:r>
        <w:object w:dxaOrig="14372" w:dyaOrig="3145" w14:anchorId="1975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5.5pt" o:ole="">
            <v:imagedata r:id="rId8" o:title=""/>
          </v:shape>
          <o:OLEObject Type="Embed" ProgID="Visio.Drawing.11" ShapeID="_x0000_i1025" DrawAspect="Content" ObjectID="_1597386726" r:id="rId9"/>
        </w:object>
      </w:r>
    </w:p>
    <w:p w14:paraId="3ABF4A18" w14:textId="77777777" w:rsidR="00CC3015" w:rsidRDefault="00CC3015" w:rsidP="00CC3015">
      <w:pPr>
        <w:pStyle w:val="Caption"/>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IAB Architecture 1a</w:t>
      </w:r>
    </w:p>
    <w:p w14:paraId="578A480B" w14:textId="77777777" w:rsidR="00CC3015" w:rsidRDefault="00CC3015" w:rsidP="00CC3015">
      <w:r>
        <w:object w:dxaOrig="15801" w:dyaOrig="3306" w14:anchorId="4271CB5F">
          <v:shape id="_x0000_i1026" type="#_x0000_t75" style="width:482pt;height:101.5pt" o:ole="">
            <v:imagedata r:id="rId10" o:title=""/>
          </v:shape>
          <o:OLEObject Type="Embed" ProgID="Visio.Drawing.11" ShapeID="_x0000_i1026" DrawAspect="Content" ObjectID="_1597386727" r:id="rId11"/>
        </w:object>
      </w:r>
    </w:p>
    <w:p w14:paraId="6EFAB937" w14:textId="77777777" w:rsidR="00CC3015" w:rsidRDefault="00CC3015" w:rsidP="00CC3015">
      <w:pPr>
        <w:pStyle w:val="Caption"/>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xml:space="preserve"> IAB Architecture 1b</w:t>
      </w:r>
    </w:p>
    <w:p w14:paraId="23A0706A" w14:textId="77777777" w:rsidR="00CC3015" w:rsidRDefault="00CC3015" w:rsidP="00CC3015">
      <w:pPr>
        <w:rPr>
          <w:rFonts w:ascii="Times New Roman" w:eastAsia="Yu Mincho" w:hAnsi="Times New Roman"/>
          <w:lang w:val="en-GB"/>
        </w:rPr>
      </w:pPr>
      <w:r w:rsidRPr="00CC3015">
        <w:rPr>
          <w:rFonts w:ascii="Times New Roman" w:eastAsia="Yu Mincho" w:hAnsi="Times New Roman"/>
          <w:lang w:val="en-GB"/>
        </w:rPr>
        <w:object w:dxaOrig="15022" w:dyaOrig="3324" w14:anchorId="2293DF65">
          <v:shape id="_x0000_i1027" type="#_x0000_t75" style="width:481.5pt;height:106.5pt" o:ole="">
            <v:imagedata r:id="rId12" o:title=""/>
          </v:shape>
          <o:OLEObject Type="Embed" ProgID="Visio.Drawing.11" ShapeID="_x0000_i1027" DrawAspect="Content" ObjectID="_1597386728" r:id="rId13"/>
        </w:object>
      </w:r>
    </w:p>
    <w:p w14:paraId="5D0548AE" w14:textId="77777777" w:rsidR="00CC3015" w:rsidRDefault="00CC3015" w:rsidP="00CC3015">
      <w:pPr>
        <w:pStyle w:val="Caption"/>
        <w:rPr>
          <w:rFonts w:eastAsia="SimSun"/>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r>
        <w:t xml:space="preserve"> IAB Architecture 2</w:t>
      </w:r>
    </w:p>
    <w:p w14:paraId="2EC22190" w14:textId="77777777" w:rsidR="00B37536" w:rsidRDefault="00CC3015" w:rsidP="00C27DF3">
      <w:pPr>
        <w:rPr>
          <w:rFonts w:eastAsia="SimSun"/>
          <w:lang w:eastAsia="zh-CN"/>
        </w:rPr>
      </w:pPr>
      <w:r>
        <w:rPr>
          <w:rFonts w:eastAsia="SimSun"/>
          <w:lang w:eastAsia="zh-CN"/>
        </w:rPr>
        <w:t xml:space="preserve">The key difference between these two architecture groups are as follows: </w:t>
      </w:r>
    </w:p>
    <w:p w14:paraId="688E6FCC" w14:textId="77777777" w:rsidR="00CC3015" w:rsidRDefault="00CC3015" w:rsidP="00CC3015">
      <w:pPr>
        <w:pStyle w:val="ListParagraph"/>
        <w:numPr>
          <w:ilvl w:val="0"/>
          <w:numId w:val="45"/>
        </w:numPr>
        <w:rPr>
          <w:rFonts w:eastAsia="SimSun"/>
          <w:lang w:eastAsia="zh-CN"/>
        </w:rPr>
      </w:pPr>
      <w:r>
        <w:rPr>
          <w:rFonts w:eastAsia="SimSun"/>
          <w:lang w:eastAsia="zh-CN"/>
        </w:rPr>
        <w:t xml:space="preserve">In IAB architecture group </w:t>
      </w:r>
      <w:r w:rsidR="005D5A60">
        <w:rPr>
          <w:rFonts w:eastAsia="SimSun"/>
          <w:lang w:eastAsia="zh-CN"/>
        </w:rPr>
        <w:t xml:space="preserve">1, </w:t>
      </w:r>
      <w:r>
        <w:rPr>
          <w:rFonts w:eastAsia="SimSun"/>
          <w:lang w:eastAsia="zh-CN"/>
        </w:rPr>
        <w:t>all the CU function</w:t>
      </w:r>
      <w:r w:rsidR="005D5A60">
        <w:rPr>
          <w:rFonts w:eastAsia="SimSun"/>
          <w:lang w:eastAsia="zh-CN"/>
        </w:rPr>
        <w:t>s</w:t>
      </w:r>
      <w:r>
        <w:rPr>
          <w:rFonts w:eastAsia="SimSun"/>
          <w:lang w:eastAsia="zh-CN"/>
        </w:rPr>
        <w:t xml:space="preserve"> (PDCP</w:t>
      </w:r>
      <w:r w:rsidR="005D5A60">
        <w:rPr>
          <w:rFonts w:eastAsia="SimSun"/>
          <w:lang w:eastAsia="zh-CN"/>
        </w:rPr>
        <w:t>, SDAP, RRC, etc.</w:t>
      </w:r>
      <w:r>
        <w:rPr>
          <w:rFonts w:eastAsia="SimSun"/>
          <w:lang w:eastAsia="zh-CN"/>
        </w:rPr>
        <w:t xml:space="preserve">) are located at the donor CU and the routing and relaying of the data happens below the PDCP as shown in figure 2-1 and 2-2. </w:t>
      </w:r>
    </w:p>
    <w:p w14:paraId="3B63C0D2" w14:textId="77777777" w:rsidR="00CC3015" w:rsidRDefault="00CC3015" w:rsidP="00CC3015">
      <w:pPr>
        <w:pStyle w:val="ListParagraph"/>
        <w:numPr>
          <w:ilvl w:val="0"/>
          <w:numId w:val="45"/>
        </w:numPr>
        <w:rPr>
          <w:rFonts w:eastAsia="SimSun"/>
          <w:lang w:eastAsia="zh-CN"/>
        </w:rPr>
      </w:pPr>
      <w:r>
        <w:rPr>
          <w:rFonts w:eastAsia="SimSun"/>
          <w:lang w:eastAsia="zh-CN"/>
        </w:rPr>
        <w:t xml:space="preserve">In IAB architecture group </w:t>
      </w:r>
      <w:r w:rsidR="005D5A60">
        <w:rPr>
          <w:rFonts w:eastAsia="SimSun"/>
          <w:lang w:eastAsia="zh-CN"/>
        </w:rPr>
        <w:t xml:space="preserve">2, </w:t>
      </w:r>
      <w:r>
        <w:rPr>
          <w:rFonts w:eastAsia="SimSun"/>
          <w:lang w:eastAsia="zh-CN"/>
        </w:rPr>
        <w:t xml:space="preserve">each IAB donor node </w:t>
      </w:r>
      <w:r w:rsidR="005D5A60">
        <w:rPr>
          <w:rFonts w:eastAsia="SimSun"/>
          <w:lang w:eastAsia="zh-CN"/>
        </w:rPr>
        <w:t xml:space="preserve">effectively </w:t>
      </w:r>
      <w:r>
        <w:rPr>
          <w:rFonts w:eastAsia="SimSun"/>
          <w:lang w:eastAsia="zh-CN"/>
        </w:rPr>
        <w:t>contains a CU i.e. it is not based on the CU-DU split architecture</w:t>
      </w:r>
      <w:r w:rsidR="005D5A60">
        <w:rPr>
          <w:rFonts w:eastAsia="SimSun"/>
          <w:lang w:eastAsia="zh-CN"/>
        </w:rPr>
        <w:t>,</w:t>
      </w:r>
      <w:r>
        <w:rPr>
          <w:rFonts w:eastAsia="SimSun"/>
          <w:lang w:eastAsia="zh-CN"/>
        </w:rPr>
        <w:t xml:space="preserve"> but rather a monolithic gNB. Also</w:t>
      </w:r>
      <w:r w:rsidR="005D5A60">
        <w:rPr>
          <w:rFonts w:eastAsia="SimSun"/>
          <w:lang w:eastAsia="zh-CN"/>
        </w:rPr>
        <w:t>,</w:t>
      </w:r>
      <w:r>
        <w:rPr>
          <w:rFonts w:eastAsia="SimSun"/>
          <w:lang w:eastAsia="zh-CN"/>
        </w:rPr>
        <w:t xml:space="preserve"> in this case the routing and relaying happens above PDCP via PDU sessions as shown in figure 2-3. </w:t>
      </w:r>
    </w:p>
    <w:p w14:paraId="7CE91EB6" w14:textId="77777777" w:rsidR="00CC3015" w:rsidRDefault="00CC3015" w:rsidP="00CC3015">
      <w:pPr>
        <w:rPr>
          <w:rFonts w:eastAsia="SimSun"/>
          <w:lang w:eastAsia="zh-CN"/>
        </w:rPr>
      </w:pPr>
      <w:r>
        <w:rPr>
          <w:rFonts w:eastAsia="SimSun"/>
          <w:lang w:eastAsia="zh-CN"/>
        </w:rPr>
        <w:t xml:space="preserve">This difference between the two architecture is significant </w:t>
      </w:r>
      <w:r w:rsidR="00847CE4">
        <w:rPr>
          <w:rFonts w:eastAsia="SimSun"/>
          <w:lang w:eastAsia="zh-CN"/>
        </w:rPr>
        <w:t>as captured by the bullets in the previous paragraph. Another key difference is that in IAB architecture 2 since the routing and relaying happens above the PDCP layer there is very little to no impact on the RAN specification</w:t>
      </w:r>
      <w:r w:rsidR="005D5A60">
        <w:rPr>
          <w:rFonts w:eastAsia="SimSun"/>
          <w:lang w:eastAsia="zh-CN"/>
        </w:rPr>
        <w:t>s</w:t>
      </w:r>
      <w:r w:rsidR="005D2C03">
        <w:rPr>
          <w:rFonts w:eastAsia="SimSun"/>
          <w:lang w:eastAsia="zh-CN"/>
        </w:rPr>
        <w:t>.</w:t>
      </w:r>
    </w:p>
    <w:p w14:paraId="164C37F0" w14:textId="77777777" w:rsidR="005D2C03" w:rsidRDefault="005D2C03" w:rsidP="00CC3015">
      <w:pPr>
        <w:rPr>
          <w:rFonts w:eastAsia="SimSun"/>
          <w:lang w:eastAsia="zh-CN"/>
        </w:rPr>
      </w:pPr>
      <w:r>
        <w:rPr>
          <w:rFonts w:eastAsia="SimSun"/>
          <w:lang w:eastAsia="zh-CN"/>
        </w:rPr>
        <w:t>The discussion in RAN3</w:t>
      </w:r>
      <w:r w:rsidR="005D5A60">
        <w:rPr>
          <w:rFonts w:eastAsia="SimSun"/>
          <w:lang w:eastAsia="zh-CN"/>
        </w:rPr>
        <w:t>,</w:t>
      </w:r>
      <w:r>
        <w:rPr>
          <w:rFonts w:eastAsia="SimSun"/>
          <w:lang w:eastAsia="zh-CN"/>
        </w:rPr>
        <w:t xml:space="preserve"> which is the primary group for architecture related decision</w:t>
      </w:r>
      <w:r w:rsidR="005D5A60">
        <w:rPr>
          <w:rFonts w:eastAsia="SimSun"/>
          <w:lang w:eastAsia="zh-CN"/>
        </w:rPr>
        <w:t>,</w:t>
      </w:r>
      <w:r>
        <w:rPr>
          <w:rFonts w:eastAsia="SimSun"/>
          <w:lang w:eastAsia="zh-CN"/>
        </w:rPr>
        <w:t xml:space="preserve"> has been mostly on architecture option 1 and very little</w:t>
      </w:r>
      <w:r w:rsidR="005D5A60">
        <w:rPr>
          <w:rFonts w:eastAsia="SimSun"/>
          <w:lang w:eastAsia="zh-CN"/>
        </w:rPr>
        <w:t>,</w:t>
      </w:r>
      <w:r>
        <w:rPr>
          <w:rFonts w:eastAsia="SimSun"/>
          <w:lang w:eastAsia="zh-CN"/>
        </w:rPr>
        <w:t xml:space="preserve"> if any</w:t>
      </w:r>
      <w:r w:rsidR="005D5A60">
        <w:rPr>
          <w:rFonts w:eastAsia="SimSun"/>
          <w:lang w:eastAsia="zh-CN"/>
        </w:rPr>
        <w:t>,</w:t>
      </w:r>
      <w:r>
        <w:rPr>
          <w:rFonts w:eastAsia="SimSun"/>
          <w:lang w:eastAsia="zh-CN"/>
        </w:rPr>
        <w:t xml:space="preserve"> time has been spent on the discussion of architecture option 2. This is also evident from the latest TR [</w:t>
      </w:r>
      <w:r w:rsidR="008A01EE">
        <w:rPr>
          <w:rFonts w:eastAsia="SimSun"/>
          <w:lang w:eastAsia="zh-CN"/>
        </w:rPr>
        <w:t>1</w:t>
      </w:r>
      <w:r>
        <w:rPr>
          <w:rFonts w:eastAsia="SimSun"/>
          <w:lang w:eastAsia="zh-CN"/>
        </w:rPr>
        <w:t>]</w:t>
      </w:r>
      <w:r w:rsidR="005D5A60">
        <w:rPr>
          <w:rFonts w:eastAsia="SimSun"/>
          <w:lang w:eastAsia="zh-CN"/>
        </w:rPr>
        <w:t>,</w:t>
      </w:r>
      <w:r>
        <w:rPr>
          <w:rFonts w:eastAsia="SimSun"/>
          <w:lang w:eastAsia="zh-CN"/>
        </w:rPr>
        <w:t xml:space="preserve"> where the discussion on the protocol stack design is almost entirely focused on architecture group 1. </w:t>
      </w:r>
    </w:p>
    <w:p w14:paraId="050AA392" w14:textId="03BABFCC" w:rsidR="005D2C03" w:rsidRDefault="005D2C03" w:rsidP="00CC3015">
      <w:pPr>
        <w:rPr>
          <w:rFonts w:eastAsia="SimSun"/>
          <w:lang w:eastAsia="zh-CN"/>
        </w:rPr>
      </w:pPr>
      <w:r>
        <w:rPr>
          <w:rFonts w:eastAsia="SimSun"/>
          <w:lang w:eastAsia="zh-CN"/>
        </w:rPr>
        <w:t>Needless to say</w:t>
      </w:r>
      <w:r w:rsidR="005D5A60">
        <w:rPr>
          <w:rFonts w:eastAsia="SimSun"/>
          <w:lang w:eastAsia="zh-CN"/>
        </w:rPr>
        <w:t>,</w:t>
      </w:r>
      <w:r>
        <w:rPr>
          <w:rFonts w:eastAsia="SimSun"/>
          <w:lang w:eastAsia="zh-CN"/>
        </w:rPr>
        <w:t xml:space="preserve"> we are concerned about the lack of progress on architecture option 2 in the RAN3 and RAN2 WG meetings. </w:t>
      </w:r>
      <w:r w:rsidR="005C4C16">
        <w:rPr>
          <w:rFonts w:eastAsia="SimSun"/>
          <w:lang w:eastAsia="zh-CN"/>
        </w:rPr>
        <w:t xml:space="preserve">We </w:t>
      </w:r>
      <w:r>
        <w:rPr>
          <w:rFonts w:eastAsia="SimSun"/>
          <w:lang w:eastAsia="zh-CN"/>
        </w:rPr>
        <w:t xml:space="preserve">want to propose that the final </w:t>
      </w:r>
      <w:r w:rsidR="00F13C64">
        <w:rPr>
          <w:rFonts w:eastAsia="SimSun"/>
          <w:lang w:eastAsia="zh-CN"/>
        </w:rPr>
        <w:t xml:space="preserve">SI </w:t>
      </w:r>
      <w:r>
        <w:rPr>
          <w:rFonts w:eastAsia="SimSun"/>
          <w:lang w:eastAsia="zh-CN"/>
        </w:rPr>
        <w:t xml:space="preserve">should be able </w:t>
      </w:r>
      <w:r w:rsidR="00F13C64">
        <w:rPr>
          <w:rFonts w:eastAsia="SimSun"/>
          <w:lang w:eastAsia="zh-CN"/>
        </w:rPr>
        <w:t>to</w:t>
      </w:r>
      <w:r>
        <w:rPr>
          <w:rFonts w:eastAsia="SimSun"/>
          <w:lang w:eastAsia="zh-CN"/>
        </w:rPr>
        <w:t xml:space="preserve"> down select the architecture options to a single architecture group 1 </w:t>
      </w:r>
      <w:r w:rsidR="00F13C64">
        <w:rPr>
          <w:rFonts w:eastAsia="SimSun"/>
          <w:lang w:eastAsia="zh-CN"/>
        </w:rPr>
        <w:t xml:space="preserve">in case </w:t>
      </w:r>
      <w:r>
        <w:rPr>
          <w:rFonts w:eastAsia="SimSun"/>
          <w:lang w:eastAsia="zh-CN"/>
        </w:rPr>
        <w:t xml:space="preserve">the lack of progress continues on architecture group 2. </w:t>
      </w:r>
      <w:bookmarkStart w:id="2" w:name="_GoBack"/>
      <w:bookmarkEnd w:id="2"/>
    </w:p>
    <w:p w14:paraId="0431C00E" w14:textId="77777777" w:rsidR="008A01EE" w:rsidRDefault="008A01EE" w:rsidP="00CC3015">
      <w:pPr>
        <w:rPr>
          <w:rFonts w:eastAsia="SimSun"/>
          <w:lang w:eastAsia="zh-CN"/>
        </w:rPr>
      </w:pPr>
    </w:p>
    <w:p w14:paraId="03A18C6A" w14:textId="2E5CACB5" w:rsidR="008A01EE" w:rsidRDefault="008A01EE" w:rsidP="00CC3015">
      <w:pPr>
        <w:rPr>
          <w:rFonts w:eastAsia="SimSun"/>
          <w:b/>
          <w:lang w:eastAsia="zh-CN"/>
        </w:rPr>
      </w:pPr>
      <w:r w:rsidRPr="008A01EE">
        <w:rPr>
          <w:rFonts w:eastAsia="SimSun"/>
          <w:b/>
          <w:lang w:eastAsia="zh-CN"/>
        </w:rPr>
        <w:t xml:space="preserve">Proposal: In case of lack of progress on architecture option 2 for IAB, the SI should down select the scope of the work item to include only architecture option 1. </w:t>
      </w:r>
    </w:p>
    <w:p w14:paraId="6794823E" w14:textId="77777777" w:rsidR="008A01EE" w:rsidRDefault="008A01EE" w:rsidP="00CC3015">
      <w:pPr>
        <w:rPr>
          <w:rFonts w:eastAsia="SimSun"/>
          <w:b/>
          <w:lang w:eastAsia="zh-CN"/>
        </w:rPr>
      </w:pPr>
    </w:p>
    <w:p w14:paraId="47556628" w14:textId="77777777" w:rsidR="008A01EE" w:rsidRDefault="008A01EE" w:rsidP="008A01EE">
      <w:pPr>
        <w:pStyle w:val="Heading1"/>
        <w:rPr>
          <w:rFonts w:eastAsia="SimSun"/>
          <w:lang w:eastAsia="zh-CN"/>
        </w:rPr>
      </w:pPr>
      <w:r>
        <w:rPr>
          <w:rFonts w:eastAsia="SimSun"/>
          <w:lang w:eastAsia="zh-CN"/>
        </w:rPr>
        <w:t>References</w:t>
      </w:r>
    </w:p>
    <w:p w14:paraId="323CDA02" w14:textId="77777777" w:rsidR="008A01EE" w:rsidRPr="008A01EE" w:rsidRDefault="008A01EE" w:rsidP="008A01EE">
      <w:pPr>
        <w:pStyle w:val="ListParagraph"/>
        <w:numPr>
          <w:ilvl w:val="0"/>
          <w:numId w:val="46"/>
        </w:numPr>
        <w:ind w:hanging="720"/>
        <w:rPr>
          <w:rFonts w:eastAsia="SimSun"/>
          <w:lang w:eastAsia="zh-CN"/>
        </w:rPr>
      </w:pPr>
      <w:r>
        <w:rPr>
          <w:rFonts w:eastAsia="SimSun"/>
          <w:lang w:eastAsia="zh-CN"/>
        </w:rPr>
        <w:t>R1-1809489, TR 38.874 V0.4.0 “ Study on Integrated Access and Backhaul”</w:t>
      </w:r>
    </w:p>
    <w:p w14:paraId="63845185" w14:textId="77777777" w:rsidR="005D2C03" w:rsidRPr="00CC3015" w:rsidRDefault="005D2C03" w:rsidP="00CC3015">
      <w:pPr>
        <w:rPr>
          <w:rFonts w:eastAsia="SimSun"/>
          <w:lang w:eastAsia="zh-CN"/>
        </w:rPr>
      </w:pPr>
    </w:p>
    <w:p w14:paraId="66385081" w14:textId="77777777" w:rsidR="00CC3015" w:rsidRPr="00B37536" w:rsidRDefault="00CC3015" w:rsidP="00C27DF3">
      <w:pPr>
        <w:rPr>
          <w:rFonts w:eastAsia="SimSun"/>
          <w:lang w:eastAsia="zh-CN"/>
        </w:rPr>
      </w:pPr>
    </w:p>
    <w:sectPr w:rsidR="00CC3015" w:rsidRPr="00B37536" w:rsidSect="0001485D">
      <w:pgSz w:w="12240" w:h="15840"/>
      <w:pgMar w:top="1080" w:right="1080" w:bottom="108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BEFE3" w16cid:durableId="1F33BD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F2B7B" w14:textId="77777777" w:rsidR="00DE0B3C" w:rsidRDefault="00DE0B3C" w:rsidP="00424124">
      <w:pPr>
        <w:spacing w:before="0" w:after="0"/>
      </w:pPr>
      <w:r>
        <w:separator/>
      </w:r>
    </w:p>
  </w:endnote>
  <w:endnote w:type="continuationSeparator" w:id="0">
    <w:p w14:paraId="5F84772B" w14:textId="77777777" w:rsidR="00DE0B3C" w:rsidRDefault="00DE0B3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E727C" w14:textId="77777777" w:rsidR="00DE0B3C" w:rsidRDefault="00DE0B3C" w:rsidP="00424124">
      <w:pPr>
        <w:spacing w:before="0" w:after="0"/>
      </w:pPr>
      <w:r>
        <w:separator/>
      </w:r>
    </w:p>
  </w:footnote>
  <w:footnote w:type="continuationSeparator" w:id="0">
    <w:p w14:paraId="1EA0A411" w14:textId="77777777" w:rsidR="00DE0B3C" w:rsidRDefault="00DE0B3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3F3"/>
    <w:multiLevelType w:val="hybridMultilevel"/>
    <w:tmpl w:val="59769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9797B"/>
    <w:multiLevelType w:val="hybridMultilevel"/>
    <w:tmpl w:val="632AE01E"/>
    <w:lvl w:ilvl="0" w:tplc="0CB27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7"/>
  </w:num>
  <w:num w:numId="3">
    <w:abstractNumId w:val="35"/>
  </w:num>
  <w:num w:numId="4">
    <w:abstractNumId w:val="44"/>
  </w:num>
  <w:num w:numId="5">
    <w:abstractNumId w:val="34"/>
  </w:num>
  <w:num w:numId="6">
    <w:abstractNumId w:val="22"/>
  </w:num>
  <w:num w:numId="7">
    <w:abstractNumId w:val="42"/>
  </w:num>
  <w:num w:numId="8">
    <w:abstractNumId w:val="6"/>
  </w:num>
  <w:num w:numId="9">
    <w:abstractNumId w:val="33"/>
  </w:num>
  <w:num w:numId="10">
    <w:abstractNumId w:val="37"/>
  </w:num>
  <w:num w:numId="11">
    <w:abstractNumId w:val="43"/>
  </w:num>
  <w:num w:numId="12">
    <w:abstractNumId w:val="15"/>
  </w:num>
  <w:num w:numId="13">
    <w:abstractNumId w:val="13"/>
  </w:num>
  <w:num w:numId="14">
    <w:abstractNumId w:val="29"/>
  </w:num>
  <w:num w:numId="15">
    <w:abstractNumId w:val="18"/>
  </w:num>
  <w:num w:numId="16">
    <w:abstractNumId w:val="23"/>
  </w:num>
  <w:num w:numId="17">
    <w:abstractNumId w:val="27"/>
  </w:num>
  <w:num w:numId="18">
    <w:abstractNumId w:val="14"/>
  </w:num>
  <w:num w:numId="19">
    <w:abstractNumId w:val="3"/>
  </w:num>
  <w:num w:numId="20">
    <w:abstractNumId w:val="31"/>
  </w:num>
  <w:num w:numId="21">
    <w:abstractNumId w:val="16"/>
  </w:num>
  <w:num w:numId="22">
    <w:abstractNumId w:val="28"/>
  </w:num>
  <w:num w:numId="23">
    <w:abstractNumId w:val="25"/>
  </w:num>
  <w:num w:numId="24">
    <w:abstractNumId w:val="8"/>
  </w:num>
  <w:num w:numId="25">
    <w:abstractNumId w:val="35"/>
  </w:num>
  <w:num w:numId="26">
    <w:abstractNumId w:val="2"/>
  </w:num>
  <w:num w:numId="27">
    <w:abstractNumId w:val="20"/>
  </w:num>
  <w:num w:numId="28">
    <w:abstractNumId w:val="4"/>
  </w:num>
  <w:num w:numId="29">
    <w:abstractNumId w:val="40"/>
  </w:num>
  <w:num w:numId="30">
    <w:abstractNumId w:val="24"/>
  </w:num>
  <w:num w:numId="31">
    <w:abstractNumId w:val="12"/>
  </w:num>
  <w:num w:numId="32">
    <w:abstractNumId w:val="10"/>
  </w:num>
  <w:num w:numId="33">
    <w:abstractNumId w:val="39"/>
  </w:num>
  <w:num w:numId="34">
    <w:abstractNumId w:val="41"/>
  </w:num>
  <w:num w:numId="35">
    <w:abstractNumId w:val="1"/>
  </w:num>
  <w:num w:numId="36">
    <w:abstractNumId w:val="26"/>
  </w:num>
  <w:num w:numId="37">
    <w:abstractNumId w:val="36"/>
  </w:num>
  <w:num w:numId="38">
    <w:abstractNumId w:val="38"/>
  </w:num>
  <w:num w:numId="39">
    <w:abstractNumId w:val="9"/>
  </w:num>
  <w:num w:numId="40">
    <w:abstractNumId w:val="32"/>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9"/>
  </w:num>
  <w:num w:numId="44">
    <w:abstractNumId w:val="30"/>
  </w:num>
  <w:num w:numId="45">
    <w:abstractNumId w:val="0"/>
  </w:num>
  <w:num w:numId="4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1F9A"/>
    <w:rsid w:val="00012DD1"/>
    <w:rsid w:val="0001485D"/>
    <w:rsid w:val="000149EC"/>
    <w:rsid w:val="00016B49"/>
    <w:rsid w:val="000179EC"/>
    <w:rsid w:val="00023262"/>
    <w:rsid w:val="00023C86"/>
    <w:rsid w:val="00032D47"/>
    <w:rsid w:val="00034BAC"/>
    <w:rsid w:val="00037A86"/>
    <w:rsid w:val="000409AA"/>
    <w:rsid w:val="000509D4"/>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720"/>
    <w:rsid w:val="000C0FDE"/>
    <w:rsid w:val="000C1E93"/>
    <w:rsid w:val="000C3713"/>
    <w:rsid w:val="000C371A"/>
    <w:rsid w:val="000C57B9"/>
    <w:rsid w:val="000D0B7F"/>
    <w:rsid w:val="000D64A0"/>
    <w:rsid w:val="000E0173"/>
    <w:rsid w:val="000E15A2"/>
    <w:rsid w:val="000E24E7"/>
    <w:rsid w:val="000E29D8"/>
    <w:rsid w:val="000E40B8"/>
    <w:rsid w:val="000E45A2"/>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59D7"/>
    <w:rsid w:val="00147442"/>
    <w:rsid w:val="00153793"/>
    <w:rsid w:val="001538EC"/>
    <w:rsid w:val="0016619B"/>
    <w:rsid w:val="001671B0"/>
    <w:rsid w:val="00172743"/>
    <w:rsid w:val="0017469E"/>
    <w:rsid w:val="0017741C"/>
    <w:rsid w:val="00181690"/>
    <w:rsid w:val="001922ED"/>
    <w:rsid w:val="0019246F"/>
    <w:rsid w:val="00193F3C"/>
    <w:rsid w:val="00194411"/>
    <w:rsid w:val="001A1BC0"/>
    <w:rsid w:val="001A26EF"/>
    <w:rsid w:val="001A303A"/>
    <w:rsid w:val="001A33CA"/>
    <w:rsid w:val="001A3E43"/>
    <w:rsid w:val="001A6212"/>
    <w:rsid w:val="001B164D"/>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85A81"/>
    <w:rsid w:val="00291042"/>
    <w:rsid w:val="00297225"/>
    <w:rsid w:val="002A005E"/>
    <w:rsid w:val="002A13F1"/>
    <w:rsid w:val="002A245E"/>
    <w:rsid w:val="002A44C0"/>
    <w:rsid w:val="002A5FC2"/>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92BA9"/>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2F98"/>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2D3C"/>
    <w:rsid w:val="0048301B"/>
    <w:rsid w:val="00485C24"/>
    <w:rsid w:val="00487201"/>
    <w:rsid w:val="00491921"/>
    <w:rsid w:val="00497B55"/>
    <w:rsid w:val="004A5ABE"/>
    <w:rsid w:val="004A6424"/>
    <w:rsid w:val="004A64A4"/>
    <w:rsid w:val="004A69D0"/>
    <w:rsid w:val="004B3F77"/>
    <w:rsid w:val="004B6E00"/>
    <w:rsid w:val="004C186B"/>
    <w:rsid w:val="004C3F2E"/>
    <w:rsid w:val="004C4856"/>
    <w:rsid w:val="004C5C31"/>
    <w:rsid w:val="004C7F89"/>
    <w:rsid w:val="004D034A"/>
    <w:rsid w:val="004D054E"/>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476F"/>
    <w:rsid w:val="00540909"/>
    <w:rsid w:val="0054354C"/>
    <w:rsid w:val="00544E45"/>
    <w:rsid w:val="00550E8B"/>
    <w:rsid w:val="005574CD"/>
    <w:rsid w:val="0056238B"/>
    <w:rsid w:val="00565BDB"/>
    <w:rsid w:val="00566E62"/>
    <w:rsid w:val="005717C6"/>
    <w:rsid w:val="005758E7"/>
    <w:rsid w:val="00575A37"/>
    <w:rsid w:val="00577453"/>
    <w:rsid w:val="005778C8"/>
    <w:rsid w:val="00577CF5"/>
    <w:rsid w:val="0058104E"/>
    <w:rsid w:val="0058120D"/>
    <w:rsid w:val="00581C39"/>
    <w:rsid w:val="0058323D"/>
    <w:rsid w:val="00590271"/>
    <w:rsid w:val="00590557"/>
    <w:rsid w:val="005917D6"/>
    <w:rsid w:val="00591CF4"/>
    <w:rsid w:val="005929B9"/>
    <w:rsid w:val="00593DA2"/>
    <w:rsid w:val="0059442E"/>
    <w:rsid w:val="00596AED"/>
    <w:rsid w:val="005A0B4C"/>
    <w:rsid w:val="005A0EFB"/>
    <w:rsid w:val="005A3A3E"/>
    <w:rsid w:val="005A4203"/>
    <w:rsid w:val="005A69E2"/>
    <w:rsid w:val="005B1400"/>
    <w:rsid w:val="005B47BD"/>
    <w:rsid w:val="005B6D2C"/>
    <w:rsid w:val="005B6FA6"/>
    <w:rsid w:val="005C2CEF"/>
    <w:rsid w:val="005C3B9E"/>
    <w:rsid w:val="005C487F"/>
    <w:rsid w:val="005C4C16"/>
    <w:rsid w:val="005C717B"/>
    <w:rsid w:val="005D01BE"/>
    <w:rsid w:val="005D2C03"/>
    <w:rsid w:val="005D2C51"/>
    <w:rsid w:val="005D5A60"/>
    <w:rsid w:val="005E421D"/>
    <w:rsid w:val="005E5816"/>
    <w:rsid w:val="005E59D1"/>
    <w:rsid w:val="005F20AC"/>
    <w:rsid w:val="005F4B86"/>
    <w:rsid w:val="005F613D"/>
    <w:rsid w:val="00602595"/>
    <w:rsid w:val="00603015"/>
    <w:rsid w:val="006034EE"/>
    <w:rsid w:val="0060603E"/>
    <w:rsid w:val="00626161"/>
    <w:rsid w:val="0063162C"/>
    <w:rsid w:val="00632859"/>
    <w:rsid w:val="00632C81"/>
    <w:rsid w:val="00634707"/>
    <w:rsid w:val="00634FCD"/>
    <w:rsid w:val="0064357F"/>
    <w:rsid w:val="00644034"/>
    <w:rsid w:val="006513D2"/>
    <w:rsid w:val="00652AC8"/>
    <w:rsid w:val="00653C6F"/>
    <w:rsid w:val="00656763"/>
    <w:rsid w:val="0066157D"/>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131F"/>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0F4C"/>
    <w:rsid w:val="0077399F"/>
    <w:rsid w:val="00775AAE"/>
    <w:rsid w:val="0077622E"/>
    <w:rsid w:val="00776E44"/>
    <w:rsid w:val="00782CDC"/>
    <w:rsid w:val="007839F9"/>
    <w:rsid w:val="00784826"/>
    <w:rsid w:val="00785EE4"/>
    <w:rsid w:val="00787E64"/>
    <w:rsid w:val="00790013"/>
    <w:rsid w:val="00790222"/>
    <w:rsid w:val="00790F25"/>
    <w:rsid w:val="007916A7"/>
    <w:rsid w:val="007A2765"/>
    <w:rsid w:val="007A2F4B"/>
    <w:rsid w:val="007A3629"/>
    <w:rsid w:val="007A46B2"/>
    <w:rsid w:val="007A6747"/>
    <w:rsid w:val="007A77F0"/>
    <w:rsid w:val="007A7C83"/>
    <w:rsid w:val="007B079E"/>
    <w:rsid w:val="007B13E5"/>
    <w:rsid w:val="007B2F6B"/>
    <w:rsid w:val="007B404F"/>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1774B"/>
    <w:rsid w:val="008203B9"/>
    <w:rsid w:val="008203D4"/>
    <w:rsid w:val="00824DED"/>
    <w:rsid w:val="00826E5A"/>
    <w:rsid w:val="00830275"/>
    <w:rsid w:val="0083325D"/>
    <w:rsid w:val="0084277C"/>
    <w:rsid w:val="00842EA7"/>
    <w:rsid w:val="008437B2"/>
    <w:rsid w:val="00843F1C"/>
    <w:rsid w:val="00844196"/>
    <w:rsid w:val="00847CE4"/>
    <w:rsid w:val="00847E82"/>
    <w:rsid w:val="00850DCE"/>
    <w:rsid w:val="00851D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7C3"/>
    <w:rsid w:val="00896954"/>
    <w:rsid w:val="008A01EE"/>
    <w:rsid w:val="008A25A1"/>
    <w:rsid w:val="008A509E"/>
    <w:rsid w:val="008B40F6"/>
    <w:rsid w:val="008C01CC"/>
    <w:rsid w:val="008C1AFD"/>
    <w:rsid w:val="008C2531"/>
    <w:rsid w:val="008C5F38"/>
    <w:rsid w:val="008C760B"/>
    <w:rsid w:val="008D1439"/>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5FA2"/>
    <w:rsid w:val="00926A9C"/>
    <w:rsid w:val="00927103"/>
    <w:rsid w:val="00927803"/>
    <w:rsid w:val="00936DB5"/>
    <w:rsid w:val="00943728"/>
    <w:rsid w:val="009449D6"/>
    <w:rsid w:val="00951527"/>
    <w:rsid w:val="009515C2"/>
    <w:rsid w:val="00957132"/>
    <w:rsid w:val="00957CD1"/>
    <w:rsid w:val="00961DB2"/>
    <w:rsid w:val="00962439"/>
    <w:rsid w:val="0096246D"/>
    <w:rsid w:val="009639F3"/>
    <w:rsid w:val="00963C93"/>
    <w:rsid w:val="0097292F"/>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017"/>
    <w:rsid w:val="00B35FCE"/>
    <w:rsid w:val="00B37536"/>
    <w:rsid w:val="00B4036F"/>
    <w:rsid w:val="00B47A86"/>
    <w:rsid w:val="00B51862"/>
    <w:rsid w:val="00B55273"/>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454B"/>
    <w:rsid w:val="00BA5598"/>
    <w:rsid w:val="00BA595D"/>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17C1"/>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27DF3"/>
    <w:rsid w:val="00C31241"/>
    <w:rsid w:val="00C3336F"/>
    <w:rsid w:val="00C34A87"/>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218A"/>
    <w:rsid w:val="00CC3015"/>
    <w:rsid w:val="00CC7D73"/>
    <w:rsid w:val="00CD0FB2"/>
    <w:rsid w:val="00CD339E"/>
    <w:rsid w:val="00CD4510"/>
    <w:rsid w:val="00CD58D2"/>
    <w:rsid w:val="00CE0C9D"/>
    <w:rsid w:val="00CE268B"/>
    <w:rsid w:val="00CF11B7"/>
    <w:rsid w:val="00CF42FA"/>
    <w:rsid w:val="00CF5207"/>
    <w:rsid w:val="00CF54E3"/>
    <w:rsid w:val="00D0034B"/>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B1D"/>
    <w:rsid w:val="00D9576C"/>
    <w:rsid w:val="00DA48AE"/>
    <w:rsid w:val="00DA63DB"/>
    <w:rsid w:val="00DA6616"/>
    <w:rsid w:val="00DB0928"/>
    <w:rsid w:val="00DB2E04"/>
    <w:rsid w:val="00DB5A55"/>
    <w:rsid w:val="00DB6B7D"/>
    <w:rsid w:val="00DC0E31"/>
    <w:rsid w:val="00DC1E71"/>
    <w:rsid w:val="00DC33ED"/>
    <w:rsid w:val="00DC70D0"/>
    <w:rsid w:val="00DC7DD6"/>
    <w:rsid w:val="00DD1F47"/>
    <w:rsid w:val="00DD2249"/>
    <w:rsid w:val="00DD627B"/>
    <w:rsid w:val="00DE0B3C"/>
    <w:rsid w:val="00DE1F43"/>
    <w:rsid w:val="00DE21F6"/>
    <w:rsid w:val="00DE5321"/>
    <w:rsid w:val="00DE5F86"/>
    <w:rsid w:val="00DF077C"/>
    <w:rsid w:val="00DF2552"/>
    <w:rsid w:val="00DF399A"/>
    <w:rsid w:val="00DF6A61"/>
    <w:rsid w:val="00E0012B"/>
    <w:rsid w:val="00E068F6"/>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39A"/>
    <w:rsid w:val="00E42AD4"/>
    <w:rsid w:val="00E50EE8"/>
    <w:rsid w:val="00E576BD"/>
    <w:rsid w:val="00E57BE9"/>
    <w:rsid w:val="00E6001C"/>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33BC"/>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03E09"/>
    <w:rsid w:val="00F1097D"/>
    <w:rsid w:val="00F13C64"/>
    <w:rsid w:val="00F154D0"/>
    <w:rsid w:val="00F261D6"/>
    <w:rsid w:val="00F262DB"/>
    <w:rsid w:val="00F27992"/>
    <w:rsid w:val="00F3131D"/>
    <w:rsid w:val="00F33233"/>
    <w:rsid w:val="00F35911"/>
    <w:rsid w:val="00F3718A"/>
    <w:rsid w:val="00F42D43"/>
    <w:rsid w:val="00F57965"/>
    <w:rsid w:val="00F65750"/>
    <w:rsid w:val="00F72B1B"/>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3652"/>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FD008"/>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 w:type="character" w:customStyle="1" w:styleId="bulletChar">
    <w:name w:val="bullet Char"/>
    <w:link w:val="bullet"/>
    <w:locked/>
    <w:rsid w:val="000E45A2"/>
    <w:rPr>
      <w:rFonts w:ascii="Times New Roman" w:eastAsia="Times New Roman" w:hAnsi="Times New Roman"/>
      <w:kern w:val="2"/>
      <w:szCs w:val="24"/>
      <w:lang w:val="en-GB"/>
    </w:rPr>
  </w:style>
  <w:style w:type="paragraph" w:customStyle="1" w:styleId="bullet">
    <w:name w:val="bullet"/>
    <w:basedOn w:val="ListParagraph"/>
    <w:link w:val="bulletChar"/>
    <w:qFormat/>
    <w:rsid w:val="000E45A2"/>
    <w:pPr>
      <w:widowControl w:val="0"/>
      <w:numPr>
        <w:numId w:val="42"/>
      </w:numPr>
      <w:spacing w:before="0" w:after="60"/>
      <w:ind w:left="720"/>
    </w:pPr>
    <w:rPr>
      <w:rFonts w:ascii="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79037">
      <w:bodyDiv w:val="1"/>
      <w:marLeft w:val="0"/>
      <w:marRight w:val="0"/>
      <w:marTop w:val="0"/>
      <w:marBottom w:val="0"/>
      <w:divBdr>
        <w:top w:val="none" w:sz="0" w:space="0" w:color="auto"/>
        <w:left w:val="none" w:sz="0" w:space="0" w:color="auto"/>
        <w:bottom w:val="none" w:sz="0" w:space="0" w:color="auto"/>
        <w:right w:val="none" w:sz="0" w:space="0" w:color="auto"/>
      </w:divBdr>
    </w:div>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1779987631">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 w:id="2128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538A-7B82-4B70-9002-8532A762F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Ghosh, Arunabha</cp:lastModifiedBy>
  <cp:revision>2</cp:revision>
  <cp:lastPrinted>2017-03-24T19:33:00Z</cp:lastPrinted>
  <dcterms:created xsi:type="dcterms:W3CDTF">2018-09-02T14:46:00Z</dcterms:created>
  <dcterms:modified xsi:type="dcterms:W3CDTF">2018-09-02T14:46:00Z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